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5552C5" w14:textId="4530A09D" w:rsidR="002422D2" w:rsidRPr="002422D2" w:rsidRDefault="00D8188F" w:rsidP="002422D2">
      <w:pPr>
        <w:spacing w:before="100" w:beforeAutospacing="1" w:after="100" w:afterAutospacing="1" w:line="240" w:lineRule="auto"/>
        <w:jc w:val="right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Bari,</w:t>
      </w:r>
      <w:r w:rsidR="00045AEB">
        <w:rPr>
          <w:rFonts w:eastAsia="Times New Roman" w:cstheme="minorHAnsi"/>
          <w:b/>
          <w:bCs/>
          <w:lang w:eastAsia="it-IT"/>
        </w:rPr>
        <w:t xml:space="preserve"> </w:t>
      </w:r>
      <w:r>
        <w:rPr>
          <w:rFonts w:eastAsia="Times New Roman" w:cstheme="minorHAnsi"/>
          <w:b/>
          <w:bCs/>
          <w:lang w:eastAsia="it-IT"/>
        </w:rPr>
        <w:t>16 ottobre</w:t>
      </w:r>
      <w:r w:rsidR="00045AEB">
        <w:rPr>
          <w:rFonts w:eastAsia="Times New Roman" w:cstheme="minorHAnsi"/>
          <w:b/>
          <w:bCs/>
          <w:lang w:eastAsia="it-IT"/>
        </w:rPr>
        <w:t xml:space="preserve"> 2026</w:t>
      </w:r>
    </w:p>
    <w:p w14:paraId="4A42B440" w14:textId="3E41D356" w:rsidR="00CF0CCE" w:rsidRDefault="00CF0CCE" w:rsidP="00CF0CCE">
      <w:pPr>
        <w:tabs>
          <w:tab w:val="left" w:pos="9180"/>
        </w:tabs>
        <w:jc w:val="center"/>
        <w:rPr>
          <w:rFonts w:eastAsia="Times New Roman" w:cstheme="minorHAnsi"/>
          <w:b/>
          <w:lang w:eastAsia="it-IT"/>
        </w:rPr>
      </w:pPr>
      <w:r w:rsidRPr="000F654C">
        <w:rPr>
          <w:rFonts w:eastAsia="Times New Roman" w:cstheme="minorHAnsi"/>
          <w:b/>
          <w:lang w:eastAsia="it-IT"/>
        </w:rPr>
        <w:t>COMUNICATO STAMPA</w:t>
      </w:r>
    </w:p>
    <w:p w14:paraId="3E9BB8E7" w14:textId="77777777" w:rsidR="001B77EB" w:rsidRPr="001B77EB" w:rsidRDefault="001B77EB" w:rsidP="001B77E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u w:val="single"/>
          <w:lang w:eastAsia="it-IT"/>
        </w:rPr>
      </w:pPr>
      <w:r w:rsidRPr="001B77EB">
        <w:rPr>
          <w:rFonts w:eastAsia="Times New Roman" w:cstheme="minorHAnsi"/>
          <w:b/>
          <w:bCs/>
          <w:u w:val="single"/>
          <w:lang w:eastAsia="it-IT"/>
        </w:rPr>
        <w:t>ECO FLOW entra nel vivo: da Gallipoli ad Arta, nuove soluzioni per il riuso sostenibile delle acque reflue</w:t>
      </w:r>
    </w:p>
    <w:p w14:paraId="28A8823A" w14:textId="1F885D6C" w:rsidR="001B77EB" w:rsidRPr="001B77EB" w:rsidRDefault="001B77EB" w:rsidP="001B77EB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lang w:eastAsia="it-IT"/>
        </w:rPr>
      </w:pPr>
      <w:r w:rsidRPr="001B77EB">
        <w:rPr>
          <w:rFonts w:eastAsia="Times New Roman" w:cstheme="minorHAnsi"/>
          <w:i/>
          <w:iCs/>
          <w:lang w:eastAsia="it-IT"/>
        </w:rPr>
        <w:t xml:space="preserve">La sperimentazione avviata in Puglia e il confronto tra i partner italiani e greci segnano un nuovo passo avanti del progetto ECO FLOW </w:t>
      </w:r>
      <w:r w:rsidRPr="001B77EB">
        <w:rPr>
          <w:rFonts w:eastAsia="Times New Roman" w:cstheme="minorHAnsi"/>
          <w:i/>
          <w:iCs/>
          <w:color w:val="000000"/>
          <w:lang w:eastAsia="it-IT"/>
        </w:rPr>
        <w:t xml:space="preserve">finanziato dal Programma Interreg VI-A Grecia-Italia 2021-2027 </w:t>
      </w:r>
      <w:r w:rsidRPr="001B77EB">
        <w:rPr>
          <w:rFonts w:eastAsia="Times New Roman" w:cstheme="minorHAnsi"/>
          <w:i/>
          <w:iCs/>
          <w:lang w:eastAsia="it-IT"/>
        </w:rPr>
        <w:t>contro scarsità idrica e cambiamenti climatici</w:t>
      </w:r>
    </w:p>
    <w:p w14:paraId="7824673B" w14:textId="4E1C174D" w:rsidR="001B77EB" w:rsidRPr="001B77EB" w:rsidRDefault="001B77EB" w:rsidP="001B77EB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1B77EB">
        <w:rPr>
          <w:rFonts w:eastAsia="Times New Roman" w:cstheme="minorHAnsi"/>
          <w:lang w:eastAsia="it-IT"/>
        </w:rPr>
        <w:t xml:space="preserve">Trasformare le acque reflue trattate in una risorsa per l’agricoltura e ridurre la pressione sulle fonti idriche convenzionali. È questo l’obiettivo di </w:t>
      </w:r>
      <w:r w:rsidRPr="001B77EB">
        <w:rPr>
          <w:rFonts w:eastAsia="Times New Roman" w:cstheme="minorHAnsi"/>
          <w:b/>
          <w:bCs/>
          <w:lang w:eastAsia="it-IT"/>
        </w:rPr>
        <w:t xml:space="preserve">ECO FLOW – </w:t>
      </w:r>
      <w:proofErr w:type="spellStart"/>
      <w:r w:rsidRPr="001B77EB">
        <w:rPr>
          <w:rFonts w:eastAsia="Times New Roman" w:cstheme="minorHAnsi"/>
          <w:b/>
          <w:bCs/>
          <w:lang w:eastAsia="it-IT"/>
        </w:rPr>
        <w:t>Environmental</w:t>
      </w:r>
      <w:proofErr w:type="spellEnd"/>
      <w:r w:rsidRPr="001B77EB">
        <w:rPr>
          <w:rFonts w:eastAsia="Times New Roman" w:cstheme="minorHAnsi"/>
          <w:b/>
          <w:bCs/>
          <w:lang w:eastAsia="it-IT"/>
        </w:rPr>
        <w:t xml:space="preserve"> </w:t>
      </w:r>
      <w:proofErr w:type="spellStart"/>
      <w:r w:rsidRPr="001B77EB">
        <w:rPr>
          <w:rFonts w:eastAsia="Times New Roman" w:cstheme="minorHAnsi"/>
          <w:b/>
          <w:bCs/>
          <w:lang w:eastAsia="it-IT"/>
        </w:rPr>
        <w:t>Climate</w:t>
      </w:r>
      <w:proofErr w:type="spellEnd"/>
      <w:r w:rsidRPr="001B77EB">
        <w:rPr>
          <w:rFonts w:eastAsia="Times New Roman" w:cstheme="minorHAnsi"/>
          <w:b/>
          <w:bCs/>
          <w:lang w:eastAsia="it-IT"/>
        </w:rPr>
        <w:t xml:space="preserve"> </w:t>
      </w:r>
      <w:proofErr w:type="spellStart"/>
      <w:r w:rsidRPr="001B77EB">
        <w:rPr>
          <w:rFonts w:eastAsia="Times New Roman" w:cstheme="minorHAnsi"/>
          <w:b/>
          <w:bCs/>
          <w:lang w:eastAsia="it-IT"/>
        </w:rPr>
        <w:t>Opportunities</w:t>
      </w:r>
      <w:proofErr w:type="spellEnd"/>
      <w:r w:rsidRPr="001B77EB">
        <w:rPr>
          <w:rFonts w:eastAsia="Times New Roman" w:cstheme="minorHAnsi"/>
          <w:b/>
          <w:bCs/>
          <w:lang w:eastAsia="it-IT"/>
        </w:rPr>
        <w:t xml:space="preserve"> For Low-impact Options in </w:t>
      </w:r>
      <w:proofErr w:type="spellStart"/>
      <w:r w:rsidRPr="001B77EB">
        <w:rPr>
          <w:rFonts w:eastAsia="Times New Roman" w:cstheme="minorHAnsi"/>
          <w:b/>
          <w:bCs/>
          <w:lang w:eastAsia="it-IT"/>
        </w:rPr>
        <w:t>Wastewater</w:t>
      </w:r>
      <w:proofErr w:type="spellEnd"/>
      <w:r w:rsidRPr="001B77EB">
        <w:rPr>
          <w:rFonts w:eastAsia="Times New Roman" w:cstheme="minorHAnsi"/>
          <w:b/>
          <w:bCs/>
          <w:lang w:eastAsia="it-IT"/>
        </w:rPr>
        <w:t xml:space="preserve"> Treatment</w:t>
      </w:r>
      <w:r w:rsidRPr="001B77EB">
        <w:rPr>
          <w:rFonts w:eastAsia="Times New Roman" w:cstheme="minorHAnsi"/>
          <w:lang w:eastAsia="it-IT"/>
        </w:rPr>
        <w:t xml:space="preserve">, progetto cofinanziato dal Programma </w:t>
      </w:r>
      <w:r w:rsidRPr="001B77EB">
        <w:rPr>
          <w:rFonts w:eastAsia="Times New Roman" w:cstheme="minorHAnsi"/>
          <w:b/>
          <w:bCs/>
          <w:lang w:eastAsia="it-IT"/>
        </w:rPr>
        <w:t>Interreg VI-A Grecia–Italia 2021–2027</w:t>
      </w:r>
      <w:r w:rsidRPr="001B77EB">
        <w:rPr>
          <w:rFonts w:eastAsia="Times New Roman" w:cstheme="minorHAnsi"/>
          <w:lang w:eastAsia="it-IT"/>
        </w:rPr>
        <w:t xml:space="preserve">, nato dalla capitalizzazione dell’esperienza Re-Water e finalizzato a promuovere soluzioni più circolari ed efficienti nella gestione della risorsa idrica. </w:t>
      </w:r>
    </w:p>
    <w:p w14:paraId="3C171E38" w14:textId="77777777" w:rsidR="00491727" w:rsidRPr="00491727" w:rsidRDefault="00491727" w:rsidP="00491727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491727">
        <w:rPr>
          <w:rFonts w:eastAsia="Times New Roman" w:cstheme="minorHAnsi"/>
          <w:lang w:eastAsia="it-IT"/>
        </w:rPr>
        <w:t xml:space="preserve">Il </w:t>
      </w:r>
      <w:r w:rsidRPr="00491727">
        <w:rPr>
          <w:rFonts w:eastAsia="Times New Roman" w:cstheme="minorHAnsi"/>
          <w:b/>
          <w:bCs/>
          <w:lang w:eastAsia="it-IT"/>
        </w:rPr>
        <w:t>1° ottobre 2026</w:t>
      </w:r>
      <w:r w:rsidRPr="00491727">
        <w:rPr>
          <w:rFonts w:eastAsia="Times New Roman" w:cstheme="minorHAnsi"/>
          <w:lang w:eastAsia="it-IT"/>
        </w:rPr>
        <w:t xml:space="preserve">, i sei partner di ECO FLOW si sono riuniti ad </w:t>
      </w:r>
      <w:r w:rsidRPr="00491727">
        <w:rPr>
          <w:rFonts w:eastAsia="Times New Roman" w:cstheme="minorHAnsi"/>
          <w:b/>
          <w:bCs/>
          <w:lang w:eastAsia="it-IT"/>
        </w:rPr>
        <w:t>Arta, in Grecia</w:t>
      </w:r>
      <w:r w:rsidRPr="00491727">
        <w:rPr>
          <w:rFonts w:eastAsia="Times New Roman" w:cstheme="minorHAnsi"/>
          <w:lang w:eastAsia="it-IT"/>
        </w:rPr>
        <w:t>, per fare il punto sullo stato di avanzamento delle attività e coordinare le prossime fasi del progetto.</w:t>
      </w:r>
    </w:p>
    <w:p w14:paraId="5DEF1CFD" w14:textId="77777777" w:rsidR="00491727" w:rsidRPr="00491727" w:rsidRDefault="00491727" w:rsidP="00491727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491727">
        <w:rPr>
          <w:rFonts w:eastAsia="Times New Roman" w:cstheme="minorHAnsi"/>
          <w:lang w:eastAsia="it-IT"/>
        </w:rPr>
        <w:t xml:space="preserve">All’incontro hanno preso parte </w:t>
      </w:r>
      <w:r w:rsidRPr="00491727">
        <w:rPr>
          <w:rFonts w:eastAsia="Times New Roman" w:cstheme="minorHAnsi"/>
          <w:b/>
          <w:bCs/>
          <w:lang w:eastAsia="it-IT"/>
        </w:rPr>
        <w:t>Acquedotto Pugliese S.p.A. (AQP)</w:t>
      </w:r>
      <w:r w:rsidRPr="00491727">
        <w:rPr>
          <w:rFonts w:eastAsia="Times New Roman" w:cstheme="minorHAnsi"/>
          <w:lang w:eastAsia="it-IT"/>
        </w:rPr>
        <w:t>, in qualità di Lead Partner, insieme agli altri partner di progetto: l’</w:t>
      </w:r>
      <w:r w:rsidRPr="00491727">
        <w:rPr>
          <w:rFonts w:eastAsia="Times New Roman" w:cstheme="minorHAnsi"/>
          <w:b/>
          <w:bCs/>
          <w:lang w:eastAsia="it-IT"/>
        </w:rPr>
        <w:t>Agenzia Regionale per le Attività Irrigue e Forestali della Regione Puglia (ARIF)</w:t>
      </w:r>
      <w:r w:rsidRPr="00491727">
        <w:rPr>
          <w:rFonts w:eastAsia="Times New Roman" w:cstheme="minorHAnsi"/>
          <w:lang w:eastAsia="it-IT"/>
        </w:rPr>
        <w:t>, l’</w:t>
      </w:r>
      <w:r w:rsidRPr="00491727">
        <w:rPr>
          <w:rFonts w:eastAsia="Times New Roman" w:cstheme="minorHAnsi"/>
          <w:b/>
          <w:bCs/>
          <w:lang w:eastAsia="it-IT"/>
        </w:rPr>
        <w:t>Università degli Studi della Basilicata</w:t>
      </w:r>
      <w:r w:rsidRPr="00491727">
        <w:rPr>
          <w:rFonts w:eastAsia="Times New Roman" w:cstheme="minorHAnsi"/>
          <w:lang w:eastAsia="it-IT"/>
        </w:rPr>
        <w:t xml:space="preserve"> e le aziende municipalizzate del servizio idrico di </w:t>
      </w:r>
      <w:r w:rsidRPr="00491727">
        <w:rPr>
          <w:rFonts w:eastAsia="Times New Roman" w:cstheme="minorHAnsi"/>
          <w:b/>
          <w:bCs/>
          <w:lang w:eastAsia="it-IT"/>
        </w:rPr>
        <w:t xml:space="preserve">Arta, </w:t>
      </w:r>
      <w:proofErr w:type="spellStart"/>
      <w:r w:rsidRPr="00491727">
        <w:rPr>
          <w:rFonts w:eastAsia="Times New Roman" w:cstheme="minorHAnsi"/>
          <w:b/>
          <w:bCs/>
          <w:lang w:eastAsia="it-IT"/>
        </w:rPr>
        <w:t>Dymaion</w:t>
      </w:r>
      <w:proofErr w:type="spellEnd"/>
      <w:r w:rsidRPr="00491727">
        <w:rPr>
          <w:rFonts w:eastAsia="Times New Roman" w:cstheme="minorHAnsi"/>
          <w:b/>
          <w:bCs/>
          <w:lang w:eastAsia="it-IT"/>
        </w:rPr>
        <w:t xml:space="preserve"> e Corfù</w:t>
      </w:r>
      <w:r w:rsidRPr="00491727">
        <w:rPr>
          <w:rFonts w:eastAsia="Times New Roman" w:cstheme="minorHAnsi"/>
          <w:lang w:eastAsia="it-IT"/>
        </w:rPr>
        <w:t>.</w:t>
      </w:r>
    </w:p>
    <w:p w14:paraId="6698629B" w14:textId="6DCBA553" w:rsidR="00D434D6" w:rsidRPr="00D434D6" w:rsidRDefault="00D434D6" w:rsidP="00D434D6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D434D6">
        <w:rPr>
          <w:rFonts w:eastAsia="Times New Roman" w:cstheme="minorHAnsi"/>
          <w:lang w:eastAsia="it-IT"/>
        </w:rPr>
        <w:t xml:space="preserve">Una giornata di confronto operativo iniziata con la visita all’impianto di trattamento delle acque reflue di </w:t>
      </w:r>
      <w:r w:rsidRPr="00D434D6">
        <w:rPr>
          <w:rFonts w:eastAsia="Times New Roman" w:cstheme="minorHAnsi"/>
          <w:b/>
          <w:bCs/>
          <w:lang w:eastAsia="it-IT"/>
        </w:rPr>
        <w:t>DEYA Arta</w:t>
      </w:r>
      <w:r w:rsidRPr="00D434D6">
        <w:rPr>
          <w:rFonts w:eastAsia="Times New Roman" w:cstheme="minorHAnsi"/>
          <w:lang w:eastAsia="it-IT"/>
        </w:rPr>
        <w:t>, dove i partner hanno approfondito le caratteristiche dell’infrastruttura e le possibili applicazioni delle acque trattate nell’ambito delle azioni pilota. Il valore transfrontaliero di ECO FLOW si esprime proprio nello scambio tra i territori coinvolti, chiamati a confrontare soluzioni in contesti diversi ma accomunati dalle stesse sfide legate alla scarsità idrica e alla gestione sostenibile dell</w:t>
      </w:r>
      <w:r>
        <w:rPr>
          <w:rFonts w:eastAsia="Times New Roman" w:cstheme="minorHAnsi"/>
          <w:lang w:eastAsia="it-IT"/>
        </w:rPr>
        <w:t>’acqua</w:t>
      </w:r>
      <w:r w:rsidRPr="00D434D6">
        <w:rPr>
          <w:rFonts w:eastAsia="Times New Roman" w:cstheme="minorHAnsi"/>
          <w:lang w:eastAsia="it-IT"/>
        </w:rPr>
        <w:t>.</w:t>
      </w:r>
    </w:p>
    <w:p w14:paraId="46613581" w14:textId="77777777" w:rsidR="001F1C8D" w:rsidRPr="001F1C8D" w:rsidRDefault="001F1C8D" w:rsidP="001F1C8D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1F1C8D">
        <w:rPr>
          <w:rFonts w:eastAsia="Times New Roman" w:cstheme="minorHAnsi"/>
          <w:lang w:eastAsia="it-IT"/>
        </w:rPr>
        <w:t xml:space="preserve">In parallelo, in Puglia, il progetto è entrato nel vivo della sperimentazione sul campo presso il sito pilota di </w:t>
      </w:r>
      <w:r w:rsidRPr="001F1C8D">
        <w:rPr>
          <w:rFonts w:eastAsia="Times New Roman" w:cstheme="minorHAnsi"/>
          <w:b/>
          <w:bCs/>
          <w:lang w:eastAsia="it-IT"/>
        </w:rPr>
        <w:t>Acquedotto Pugliese</w:t>
      </w:r>
      <w:r w:rsidRPr="001F1C8D">
        <w:rPr>
          <w:rFonts w:eastAsia="Times New Roman" w:cstheme="minorHAnsi"/>
          <w:lang w:eastAsia="it-IT"/>
        </w:rPr>
        <w:t xml:space="preserve"> a Gallipoli.</w:t>
      </w:r>
    </w:p>
    <w:p w14:paraId="62D721BE" w14:textId="77777777" w:rsidR="001F1C8D" w:rsidRDefault="001F1C8D" w:rsidP="001F1C8D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1F1C8D">
        <w:rPr>
          <w:rFonts w:eastAsia="Times New Roman" w:cstheme="minorHAnsi"/>
          <w:lang w:eastAsia="it-IT"/>
        </w:rPr>
        <w:t xml:space="preserve">Qui, </w:t>
      </w:r>
      <w:r w:rsidRPr="001F1C8D">
        <w:rPr>
          <w:rFonts w:eastAsia="Times New Roman" w:cstheme="minorHAnsi"/>
          <w:b/>
          <w:bCs/>
          <w:lang w:eastAsia="it-IT"/>
        </w:rPr>
        <w:t xml:space="preserve">60 giovani ulivi delle cultivar Favolosa e Lecciana, entrambe resistenti alla Xylella, forniti da ARIF, </w:t>
      </w:r>
      <w:r>
        <w:rPr>
          <w:rFonts w:eastAsia="Times New Roman" w:cstheme="minorHAnsi"/>
          <w:b/>
          <w:bCs/>
          <w:lang w:eastAsia="it-IT"/>
        </w:rPr>
        <w:t>hanno trovato una nuova casa</w:t>
      </w:r>
      <w:r w:rsidRPr="001F1C8D">
        <w:rPr>
          <w:rFonts w:eastAsia="Times New Roman" w:cstheme="minorHAnsi"/>
          <w:b/>
          <w:bCs/>
          <w:lang w:eastAsia="it-IT"/>
        </w:rPr>
        <w:t xml:space="preserve"> e sono ora protagonisti della fase sperimentale</w:t>
      </w:r>
      <w:r w:rsidRPr="001F1C8D">
        <w:rPr>
          <w:rFonts w:eastAsia="Times New Roman" w:cstheme="minorHAnsi"/>
          <w:lang w:eastAsia="it-IT"/>
        </w:rPr>
        <w:t xml:space="preserve">. </w:t>
      </w:r>
    </w:p>
    <w:p w14:paraId="1A4E703B" w14:textId="3CD363CE" w:rsidR="001F1C8D" w:rsidRPr="001F1C8D" w:rsidRDefault="001F1C8D" w:rsidP="001F1C8D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1F1C8D">
        <w:rPr>
          <w:rFonts w:eastAsia="Times New Roman" w:cstheme="minorHAnsi"/>
          <w:lang w:eastAsia="it-IT"/>
        </w:rPr>
        <w:t xml:space="preserve">Sulle piante vengono valutati gli effetti delle diverse fonti idriche, attraverso </w:t>
      </w:r>
      <w:r w:rsidR="00571CBB">
        <w:rPr>
          <w:rFonts w:eastAsia="Times New Roman" w:cstheme="minorHAnsi"/>
          <w:lang w:eastAsia="it-IT"/>
        </w:rPr>
        <w:t>continui monitoraggi</w:t>
      </w:r>
      <w:r w:rsidRPr="001F1C8D">
        <w:rPr>
          <w:rFonts w:eastAsia="Times New Roman" w:cstheme="minorHAnsi"/>
          <w:lang w:eastAsia="it-IT"/>
        </w:rPr>
        <w:t xml:space="preserve"> della qualità dell’acqua, dei parametri del suolo e dello stato di salute e sviluppo degli ulivi.</w:t>
      </w:r>
    </w:p>
    <w:p w14:paraId="74F9A088" w14:textId="77777777" w:rsidR="008141A4" w:rsidRDefault="008141A4" w:rsidP="001B77E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it-IT"/>
        </w:rPr>
      </w:pPr>
      <w:r w:rsidRPr="008141A4">
        <w:rPr>
          <w:rFonts w:eastAsia="Times New Roman" w:cstheme="minorHAnsi"/>
          <w:b/>
          <w:bCs/>
          <w:lang w:eastAsia="it-IT"/>
        </w:rPr>
        <w:t>Il confronto tra le esperienze pilota sviluppate in Italia e in Grecia consentirà di mettere a sistema dati, competenze e risultati, sostenendo la definizione di soluzioni replicabili e trasferibili nell’intera area di cooperazione Grecia–Italia.</w:t>
      </w:r>
    </w:p>
    <w:p w14:paraId="03A1F804" w14:textId="5660EC7C" w:rsidR="00530D9E" w:rsidRPr="00D8188F" w:rsidRDefault="001B77EB" w:rsidP="00D8188F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1B77EB">
        <w:rPr>
          <w:rFonts w:eastAsia="Times New Roman" w:cstheme="minorHAnsi"/>
          <w:lang w:eastAsia="it-IT"/>
        </w:rPr>
        <w:t xml:space="preserve">Con un budget complessivo di circa </w:t>
      </w:r>
      <w:r w:rsidRPr="001B77EB">
        <w:rPr>
          <w:rFonts w:eastAsia="Times New Roman" w:cstheme="minorHAnsi"/>
          <w:b/>
          <w:bCs/>
          <w:lang w:eastAsia="it-IT"/>
        </w:rPr>
        <w:t>1,58 milioni di euro</w:t>
      </w:r>
      <w:r w:rsidRPr="001B77EB">
        <w:rPr>
          <w:rFonts w:eastAsia="Times New Roman" w:cstheme="minorHAnsi"/>
          <w:lang w:eastAsia="it-IT"/>
        </w:rPr>
        <w:t>, ECO FLOW punta a trasformare i risultati delle attività pilota in soluzioni replicabili e condivise tra Italia e Grecia, contribuendo alla definizione di una strategia transfrontaliera per un uso più sostenibile, efficiente e resiliente dell’acqua.</w:t>
      </w:r>
    </w:p>
    <w:sectPr w:rsidR="00530D9E" w:rsidRPr="00D8188F" w:rsidSect="005D139C">
      <w:headerReference w:type="default" r:id="rId7"/>
      <w:footerReference w:type="default" r:id="rId8"/>
      <w:pgSz w:w="11906" w:h="16838"/>
      <w:pgMar w:top="1417" w:right="1134" w:bottom="1134" w:left="1134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BEB577" w14:textId="77777777" w:rsidR="001A5730" w:rsidRDefault="001A5730" w:rsidP="0070505F">
      <w:pPr>
        <w:spacing w:after="0" w:line="240" w:lineRule="auto"/>
      </w:pPr>
      <w:r>
        <w:separator/>
      </w:r>
    </w:p>
  </w:endnote>
  <w:endnote w:type="continuationSeparator" w:id="0">
    <w:p w14:paraId="2C9C99E3" w14:textId="77777777" w:rsidR="001A5730" w:rsidRDefault="001A5730" w:rsidP="0070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1CD7FC" w14:textId="4CF07C1B" w:rsidR="0070505F" w:rsidRDefault="0070505F">
    <w:pPr>
      <w:pStyle w:val="Pidipagina"/>
    </w:pPr>
    <w:r>
      <w:t xml:space="preserve">    </w:t>
    </w:r>
    <w:r w:rsidR="002B658C"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FCE5F" w14:textId="77777777" w:rsidR="001A5730" w:rsidRDefault="001A5730" w:rsidP="0070505F">
      <w:pPr>
        <w:spacing w:after="0" w:line="240" w:lineRule="auto"/>
      </w:pPr>
      <w:r>
        <w:separator/>
      </w:r>
    </w:p>
  </w:footnote>
  <w:footnote w:type="continuationSeparator" w:id="0">
    <w:p w14:paraId="1A174143" w14:textId="77777777" w:rsidR="001A5730" w:rsidRDefault="001A5730" w:rsidP="0070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F35AD" w14:textId="52A39981" w:rsidR="0070505F" w:rsidRPr="0070505F" w:rsidRDefault="00D8188F" w:rsidP="0070505F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997AB89" wp14:editId="6B3D08D2">
          <wp:simplePos x="0" y="0"/>
          <wp:positionH relativeFrom="column">
            <wp:posOffset>5245267</wp:posOffset>
          </wp:positionH>
          <wp:positionV relativeFrom="paragraph">
            <wp:posOffset>-269240</wp:posOffset>
          </wp:positionV>
          <wp:extent cx="1030605" cy="1030605"/>
          <wp:effectExtent l="0" t="0" r="0" b="0"/>
          <wp:wrapThrough wrapText="bothSides">
            <wp:wrapPolygon edited="0">
              <wp:start x="0" y="0"/>
              <wp:lineTo x="0" y="21294"/>
              <wp:lineTo x="21294" y="21294"/>
              <wp:lineTo x="21294" y="0"/>
              <wp:lineTo x="0" y="0"/>
            </wp:wrapPolygon>
          </wp:wrapThrough>
          <wp:docPr id="42609622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096226" name="Immagine 4260962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605" cy="1030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39C">
      <w:rPr>
        <w:noProof/>
      </w:rPr>
      <w:drawing>
        <wp:inline distT="0" distB="0" distL="0" distR="0" wp14:anchorId="465A08BA" wp14:editId="19D2A542">
          <wp:extent cx="2369820" cy="836295"/>
          <wp:effectExtent l="0" t="0" r="0" b="1905"/>
          <wp:docPr id="2602425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271014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836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078192" w14:textId="6FFFC513" w:rsidR="0070505F" w:rsidRDefault="007050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F1F95"/>
    <w:multiLevelType w:val="hybridMultilevel"/>
    <w:tmpl w:val="DD943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55F34"/>
    <w:multiLevelType w:val="multilevel"/>
    <w:tmpl w:val="4A68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330CE"/>
    <w:multiLevelType w:val="hybridMultilevel"/>
    <w:tmpl w:val="8FD084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51209"/>
    <w:multiLevelType w:val="multilevel"/>
    <w:tmpl w:val="4C94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32519B"/>
    <w:multiLevelType w:val="hybridMultilevel"/>
    <w:tmpl w:val="0C00C1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65FAD"/>
    <w:multiLevelType w:val="multilevel"/>
    <w:tmpl w:val="9186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41124">
    <w:abstractNumId w:val="2"/>
  </w:num>
  <w:num w:numId="2" w16cid:durableId="857620810">
    <w:abstractNumId w:val="4"/>
  </w:num>
  <w:num w:numId="3" w16cid:durableId="1651865147">
    <w:abstractNumId w:val="0"/>
  </w:num>
  <w:num w:numId="4" w16cid:durableId="901989233">
    <w:abstractNumId w:val="1"/>
  </w:num>
  <w:num w:numId="5" w16cid:durableId="3554986">
    <w:abstractNumId w:val="5"/>
  </w:num>
  <w:num w:numId="6" w16cid:durableId="202748733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5F"/>
    <w:rsid w:val="00011C73"/>
    <w:rsid w:val="00041510"/>
    <w:rsid w:val="00045AEB"/>
    <w:rsid w:val="00064CDF"/>
    <w:rsid w:val="000C6462"/>
    <w:rsid w:val="000F36AB"/>
    <w:rsid w:val="00107640"/>
    <w:rsid w:val="001410DF"/>
    <w:rsid w:val="00165EA4"/>
    <w:rsid w:val="001926EA"/>
    <w:rsid w:val="001A5730"/>
    <w:rsid w:val="001B77EB"/>
    <w:rsid w:val="001F1C8D"/>
    <w:rsid w:val="00213119"/>
    <w:rsid w:val="00235830"/>
    <w:rsid w:val="002422D2"/>
    <w:rsid w:val="002647FC"/>
    <w:rsid w:val="002A2755"/>
    <w:rsid w:val="002A5BDA"/>
    <w:rsid w:val="002B658C"/>
    <w:rsid w:val="002C4D81"/>
    <w:rsid w:val="003070F4"/>
    <w:rsid w:val="0032273B"/>
    <w:rsid w:val="00372925"/>
    <w:rsid w:val="003932F3"/>
    <w:rsid w:val="003B4835"/>
    <w:rsid w:val="003C3B17"/>
    <w:rsid w:val="003E0CD0"/>
    <w:rsid w:val="003E24CC"/>
    <w:rsid w:val="003F04AD"/>
    <w:rsid w:val="0048422C"/>
    <w:rsid w:val="00491727"/>
    <w:rsid w:val="004A52F2"/>
    <w:rsid w:val="005056BD"/>
    <w:rsid w:val="00530D9E"/>
    <w:rsid w:val="00551AB5"/>
    <w:rsid w:val="00571CBB"/>
    <w:rsid w:val="005C06AD"/>
    <w:rsid w:val="005D139C"/>
    <w:rsid w:val="005D6B04"/>
    <w:rsid w:val="005D71A7"/>
    <w:rsid w:val="005F6BDD"/>
    <w:rsid w:val="00600C2C"/>
    <w:rsid w:val="006527DE"/>
    <w:rsid w:val="006759B9"/>
    <w:rsid w:val="0068765B"/>
    <w:rsid w:val="006978DB"/>
    <w:rsid w:val="0070505F"/>
    <w:rsid w:val="00710F5F"/>
    <w:rsid w:val="00743996"/>
    <w:rsid w:val="00786007"/>
    <w:rsid w:val="007F150E"/>
    <w:rsid w:val="008141A4"/>
    <w:rsid w:val="00827B69"/>
    <w:rsid w:val="00870AA1"/>
    <w:rsid w:val="008A5F0D"/>
    <w:rsid w:val="00903CE8"/>
    <w:rsid w:val="0092581E"/>
    <w:rsid w:val="00935CC8"/>
    <w:rsid w:val="00935D0D"/>
    <w:rsid w:val="0098757B"/>
    <w:rsid w:val="009A140B"/>
    <w:rsid w:val="009C344D"/>
    <w:rsid w:val="00A23731"/>
    <w:rsid w:val="00AA1FB5"/>
    <w:rsid w:val="00AD7806"/>
    <w:rsid w:val="00AE2303"/>
    <w:rsid w:val="00AF2421"/>
    <w:rsid w:val="00B65984"/>
    <w:rsid w:val="00B81BA1"/>
    <w:rsid w:val="00B846D8"/>
    <w:rsid w:val="00BB4AEC"/>
    <w:rsid w:val="00BC7695"/>
    <w:rsid w:val="00BF3537"/>
    <w:rsid w:val="00C44947"/>
    <w:rsid w:val="00C86EE6"/>
    <w:rsid w:val="00CF0CCE"/>
    <w:rsid w:val="00D052B2"/>
    <w:rsid w:val="00D434D6"/>
    <w:rsid w:val="00D6406F"/>
    <w:rsid w:val="00D8188F"/>
    <w:rsid w:val="00DB205F"/>
    <w:rsid w:val="00E13063"/>
    <w:rsid w:val="00E377BD"/>
    <w:rsid w:val="00F40F8A"/>
    <w:rsid w:val="00F7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A4C8CD"/>
  <w15:chartTrackingRefBased/>
  <w15:docId w15:val="{CF9C68A5-CBD9-4C67-87F7-D6F7392A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0CCE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5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5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5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5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5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5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5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5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5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5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5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5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505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505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50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50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50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50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5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5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5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5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5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50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50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505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5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505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505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050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505F"/>
  </w:style>
  <w:style w:type="paragraph" w:styleId="Pidipagina">
    <w:name w:val="footer"/>
    <w:basedOn w:val="Normale"/>
    <w:link w:val="PidipaginaCarattere"/>
    <w:uiPriority w:val="99"/>
    <w:unhideWhenUsed/>
    <w:rsid w:val="007050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505F"/>
  </w:style>
  <w:style w:type="paragraph" w:styleId="Nessunaspaziatura">
    <w:name w:val="No Spacing"/>
    <w:uiPriority w:val="1"/>
    <w:qFormat/>
    <w:rsid w:val="00D052B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DB205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B205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B205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B205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B205F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51AB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AB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27B69"/>
    <w:rPr>
      <w:color w:val="954F72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5C06AD"/>
    <w:pPr>
      <w:spacing w:before="240" w:after="0"/>
      <w:outlineLvl w:val="9"/>
    </w:pPr>
    <w:rPr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5C06AD"/>
    <w:pPr>
      <w:spacing w:after="100"/>
    </w:pPr>
  </w:style>
  <w:style w:type="table" w:styleId="Grigliatabella">
    <w:name w:val="Table Grid"/>
    <w:basedOn w:val="Tabellanormale"/>
    <w:uiPriority w:val="39"/>
    <w:rsid w:val="005056B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A23731"/>
    <w:rPr>
      <w:rFonts w:ascii="Times New Roman" w:hAnsi="Times New Roman" w:cs="Times New Roman"/>
    </w:rPr>
  </w:style>
  <w:style w:type="paragraph" w:customStyle="1" w:styleId="western">
    <w:name w:val="western"/>
    <w:basedOn w:val="Normale"/>
    <w:uiPriority w:val="99"/>
    <w:rsid w:val="00235830"/>
    <w:pPr>
      <w:spacing w:before="100" w:beforeAutospacing="1" w:after="0" w:line="240" w:lineRule="auto"/>
      <w:ind w:right="431"/>
      <w:jc w:val="both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Battaglia</dc:creator>
  <cp:keywords/>
  <dc:description/>
  <cp:lastModifiedBy>Alessandro Di Pierro</cp:lastModifiedBy>
  <cp:revision>41</cp:revision>
  <cp:lastPrinted>2025-12-01T16:49:00Z</cp:lastPrinted>
  <dcterms:created xsi:type="dcterms:W3CDTF">2025-11-27T15:55:00Z</dcterms:created>
  <dcterms:modified xsi:type="dcterms:W3CDTF">2026-10-16T11:29:00Z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c785a8a6-e54f-41ac-a7ca-805f6c8db7cc</vt:lpwstr>
  </property>
</Properties>
</file>